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4B0D37">
      <w:pPr>
        <w:overflowPunct w:val="0"/>
        <w:topLinePunct/>
        <w:autoSpaceDE w:val="0"/>
        <w:autoSpaceDN w:val="0"/>
        <w:adjustRightInd w:val="0"/>
        <w:spacing w:line="580" w:lineRule="exact"/>
        <w:rPr>
          <w:rFonts w:ascii="黑体" w:hAnsi="黑体" w:eastAsia="黑体" w:cs="黑体"/>
          <w:snapToGrid w:val="0"/>
          <w:sz w:val="32"/>
          <w:szCs w:val="32"/>
        </w:rPr>
      </w:pPr>
      <w:r>
        <w:rPr>
          <w:rFonts w:hint="eastAsia" w:ascii="黑体" w:hAnsi="黑体" w:eastAsia="黑体" w:cs="黑体"/>
          <w:snapToGrid w:val="0"/>
          <w:sz w:val="32"/>
          <w:szCs w:val="32"/>
        </w:rPr>
        <w:t>附件</w:t>
      </w:r>
      <w:r>
        <w:rPr>
          <w:rFonts w:hint="eastAsia" w:ascii="黑体" w:hAnsi="黑体" w:eastAsia="黑体" w:cs="黑体"/>
          <w:snapToGrid w:val="0"/>
          <w:sz w:val="32"/>
          <w:szCs w:val="32"/>
          <w:lang w:val="en-US" w:eastAsia="zh-CN"/>
        </w:rPr>
        <w:t>2</w:t>
      </w:r>
      <w:r>
        <w:rPr>
          <w:rFonts w:hint="eastAsia" w:ascii="黑体" w:hAnsi="黑体" w:eastAsia="黑体" w:cs="黑体"/>
          <w:snapToGrid w:val="0"/>
          <w:sz w:val="32"/>
          <w:szCs w:val="32"/>
        </w:rPr>
        <w:t>：典型事迹撰写模版</w:t>
      </w:r>
    </w:p>
    <w:p w14:paraId="36332942">
      <w:pPr>
        <w:overflowPunct w:val="0"/>
        <w:topLinePunct/>
        <w:autoSpaceDE w:val="0"/>
        <w:autoSpaceDN w:val="0"/>
        <w:adjustRightInd w:val="0"/>
        <w:spacing w:line="580" w:lineRule="exact"/>
        <w:rPr>
          <w:rFonts w:ascii="仿宋_GB2312" w:hAnsi="仿宋" w:eastAsia="仿宋_GB2312" w:cs="宋体"/>
          <w:snapToGrid w:val="0"/>
          <w:sz w:val="32"/>
          <w:szCs w:val="32"/>
        </w:rPr>
      </w:pPr>
      <w:r>
        <w:rPr>
          <w:rFonts w:hint="eastAsia" w:ascii="仿宋_GB2312" w:hAnsi="仿宋" w:eastAsia="仿宋_GB2312" w:cs="宋体"/>
          <w:snapToGrid w:val="0"/>
          <w:sz w:val="32"/>
          <w:szCs w:val="32"/>
        </w:rPr>
        <w:t xml:space="preserve"> </w:t>
      </w:r>
    </w:p>
    <w:p w14:paraId="2BADFB65">
      <w:pPr>
        <w:overflowPunct w:val="0"/>
        <w:topLinePunct/>
        <w:autoSpaceDE w:val="0"/>
        <w:autoSpaceDN w:val="0"/>
        <w:adjustRightInd w:val="0"/>
        <w:spacing w:line="580" w:lineRule="exact"/>
        <w:jc w:val="center"/>
        <w:rPr>
          <w:rFonts w:ascii="方正小标宋简体" w:hAnsi="方正小标宋简体" w:eastAsia="方正小标宋简体" w:cs="方正小标宋简体"/>
          <w:snapToGrid w:val="0"/>
          <w:sz w:val="44"/>
          <w:szCs w:val="44"/>
        </w:rPr>
      </w:pPr>
      <w:r>
        <w:rPr>
          <w:rFonts w:hint="eastAsia" w:ascii="方正小标宋简体" w:hAnsi="方正小标宋简体" w:eastAsia="方正小标宋简体" w:cs="方正小标宋简体"/>
          <w:snapToGrid w:val="0"/>
          <w:sz w:val="44"/>
          <w:szCs w:val="44"/>
        </w:rPr>
        <w:t>77 岁老科技工作者李健：</w:t>
      </w:r>
    </w:p>
    <w:p w14:paraId="3CF42BDF">
      <w:pPr>
        <w:overflowPunct w:val="0"/>
        <w:topLinePunct/>
        <w:autoSpaceDE w:val="0"/>
        <w:autoSpaceDN w:val="0"/>
        <w:adjustRightInd w:val="0"/>
        <w:spacing w:line="580" w:lineRule="exact"/>
        <w:jc w:val="center"/>
        <w:rPr>
          <w:rFonts w:ascii="方正小标宋简体" w:hAnsi="方正小标宋简体" w:eastAsia="方正小标宋简体" w:cs="方正小标宋简体"/>
          <w:snapToGrid w:val="0"/>
          <w:sz w:val="44"/>
          <w:szCs w:val="44"/>
        </w:rPr>
      </w:pPr>
      <w:r>
        <w:rPr>
          <w:rFonts w:hint="eastAsia" w:ascii="方正小标宋简体" w:hAnsi="方正小标宋简体" w:eastAsia="方正小标宋简体" w:cs="方正小标宋简体"/>
          <w:snapToGrid w:val="0"/>
          <w:sz w:val="44"/>
          <w:szCs w:val="44"/>
        </w:rPr>
        <w:t>服务社会是一种更高境界的老有所乐</w:t>
      </w:r>
    </w:p>
    <w:p w14:paraId="495BACF1">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p>
    <w:p w14:paraId="6A953655">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初春的武汉，天气还有些微寒，但在武汉一家科技公司的研发中心，却是一派热火朝天的景象。一位精神矍铄的老专家，正专注地听取企业技术负责人的讲解，不时俯身察看设备，或拿起产品样品仔细询问参数与工艺——他就是 77 岁的中国老科学技术工作者协会副会长李健。此刻的他，是“老专家地方行”活动中为企业“问诊把脉”的银发专家。单看他的神态与行动，很难将他与古稀之年的老人联系起来——思维敏捷，提问切中要害，对生物科技领域的创新点表现出浓厚的兴趣和深刻的理解。这充沛的精气神，全然源于他内心那股“活到老、学到老、干到老、奉献到老”的银发力量。</w:t>
      </w:r>
    </w:p>
    <w:p w14:paraId="01C759AD">
      <w:pPr>
        <w:pStyle w:val="2"/>
        <w:spacing w:before="0" w:after="0" w:line="240" w:lineRule="auto"/>
        <w:rPr>
          <w:sz w:val="32"/>
          <w:szCs w:val="32"/>
        </w:rPr>
      </w:pPr>
      <w:r>
        <w:rPr>
          <w:rFonts w:hint="eastAsia"/>
          <w:sz w:val="32"/>
          <w:szCs w:val="32"/>
        </w:rPr>
        <w:drawing>
          <wp:inline distT="0" distB="0" distL="114300" distR="114300">
            <wp:extent cx="5607685" cy="3846830"/>
            <wp:effectExtent l="0" t="0" r="12065" b="1270"/>
            <wp:docPr id="2" name="图片 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1)"/>
                    <pic:cNvPicPr>
                      <a:picLocks noChangeAspect="1"/>
                    </pic:cNvPicPr>
                  </pic:nvPicPr>
                  <pic:blipFill>
                    <a:blip r:embed="rId6"/>
                    <a:stretch>
                      <a:fillRect/>
                    </a:stretch>
                  </pic:blipFill>
                  <pic:spPr>
                    <a:xfrm>
                      <a:off x="0" y="0"/>
                      <a:ext cx="5607685" cy="3846830"/>
                    </a:xfrm>
                    <a:prstGeom prst="rect">
                      <a:avLst/>
                    </a:prstGeom>
                  </pic:spPr>
                </pic:pic>
              </a:graphicData>
            </a:graphic>
          </wp:inline>
        </w:drawing>
      </w:r>
    </w:p>
    <w:p w14:paraId="0B5CD5FD">
      <w:pPr>
        <w:overflowPunct w:val="0"/>
        <w:topLinePunct/>
        <w:autoSpaceDE w:val="0"/>
        <w:autoSpaceDN w:val="0"/>
        <w:adjustRightInd w:val="0"/>
        <w:spacing w:line="560" w:lineRule="exact"/>
        <w:jc w:val="center"/>
      </w:pPr>
      <w:r>
        <w:rPr>
          <w:rFonts w:hint="eastAsia" w:ascii="方正楷体_GBK" w:hAnsi="方正楷体_GBK" w:eastAsia="方正楷体_GBK" w:cs="方正楷体_GBK"/>
          <w:snapToGrid w:val="0"/>
          <w:sz w:val="32"/>
          <w:szCs w:val="32"/>
        </w:rPr>
        <w:t>李健在一家公司考察</w:t>
      </w:r>
    </w:p>
    <w:p w14:paraId="260AC7A8">
      <w:pPr>
        <w:overflowPunct w:val="0"/>
        <w:topLinePunct/>
        <w:autoSpaceDE w:val="0"/>
        <w:autoSpaceDN w:val="0"/>
        <w:adjustRightInd w:val="0"/>
        <w:spacing w:line="560" w:lineRule="exact"/>
        <w:ind w:firstLine="640" w:firstLineChars="200"/>
        <w:jc w:val="left"/>
        <w:rPr>
          <w:rFonts w:ascii="黑体" w:hAnsi="黑体" w:eastAsia="黑体" w:cs="黑体"/>
          <w:snapToGrid w:val="0"/>
          <w:sz w:val="32"/>
          <w:szCs w:val="32"/>
        </w:rPr>
      </w:pPr>
    </w:p>
    <w:p w14:paraId="3BC57157">
      <w:pPr>
        <w:overflowPunct w:val="0"/>
        <w:topLinePunct/>
        <w:autoSpaceDE w:val="0"/>
        <w:autoSpaceDN w:val="0"/>
        <w:adjustRightInd w:val="0"/>
        <w:spacing w:line="560" w:lineRule="exact"/>
        <w:ind w:firstLine="640" w:firstLineChars="200"/>
        <w:jc w:val="left"/>
        <w:rPr>
          <w:rFonts w:ascii="黑体" w:hAnsi="黑体" w:eastAsia="黑体" w:cs="黑体"/>
          <w:snapToGrid w:val="0"/>
          <w:sz w:val="32"/>
          <w:szCs w:val="32"/>
        </w:rPr>
      </w:pPr>
      <w:r>
        <w:rPr>
          <w:rFonts w:hint="eastAsia" w:ascii="黑体" w:hAnsi="黑体" w:eastAsia="黑体" w:cs="黑体"/>
          <w:snapToGrid w:val="0"/>
          <w:sz w:val="32"/>
          <w:szCs w:val="32"/>
        </w:rPr>
        <w:t>十年坚守，陪伴一家企业“长成参天大树”</w:t>
      </w:r>
    </w:p>
    <w:p w14:paraId="7B3D053E">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十多年前，当时已经退休的李健正在进行武汉民营经济的研究，在一次考察中，他遇到了一家彼时规模和影响都还不算很大的电气公司。</w:t>
      </w:r>
    </w:p>
    <w:p w14:paraId="7E5B3FAD">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他们非常重视科技、重视人才、重视创新，很早就开始了与大学、科研院所的合作。”李健回忆道，“我从他们的‘带头人’身上感受到了工业报国的坚守、不赚快钱的定力以及对员工成长的关注，让我坚信这家企业能成事。”</w:t>
      </w:r>
    </w:p>
    <w:p w14:paraId="66027129">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于是，这份认可化作十年陪伴。</w:t>
      </w:r>
    </w:p>
    <w:p w14:paraId="32F26465">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2017 年到 2021 年期间，李健先后向湖北省委、国家工信部提交了多份极具行业价值的报告，受到了相关部门的高度重视，大大助推了这家企业品牌的提档升级。</w:t>
      </w:r>
    </w:p>
    <w:p w14:paraId="3C2FE69C">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2022 年 7 月，为了更好地服务、助力企业高质量发展，李健又领衔老专家团队在这家公司设立了武汉大学首个老专家工作站，积极投身于为企业牵线产学研合作、完善公司治理、推进精品战略、提升软实力的工作中。目前已有 9 位专家进站，持续为企业腾飞贡献银发力量。</w:t>
      </w:r>
    </w:p>
    <w:p w14:paraId="484D6337">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如今，这家企业已经成长为智能用电控制设备行业领军企业。这份成绩让李健充满了成就感，因为他深知这背后是无数次调研、沟通、指导的付出，是超越商业关系的深厚情谊和共同成长。</w:t>
      </w:r>
    </w:p>
    <w:p w14:paraId="42846E65">
      <w:pPr>
        <w:overflowPunct w:val="0"/>
        <w:topLinePunct/>
        <w:autoSpaceDE w:val="0"/>
        <w:autoSpaceDN w:val="0"/>
        <w:adjustRightInd w:val="0"/>
        <w:spacing w:line="560" w:lineRule="exact"/>
        <w:ind w:firstLine="640" w:firstLineChars="200"/>
        <w:jc w:val="left"/>
        <w:rPr>
          <w:rFonts w:ascii="黑体" w:hAnsi="黑体" w:eastAsia="黑体" w:cs="黑体"/>
          <w:snapToGrid w:val="0"/>
          <w:sz w:val="32"/>
          <w:szCs w:val="32"/>
        </w:rPr>
      </w:pPr>
      <w:r>
        <w:rPr>
          <w:rFonts w:hint="eastAsia" w:ascii="黑体" w:hAnsi="黑体" w:eastAsia="黑体" w:cs="黑体"/>
          <w:snapToGrid w:val="0"/>
          <w:sz w:val="32"/>
          <w:szCs w:val="32"/>
        </w:rPr>
        <w:t>10 万名老科技工作者 共绘银龄助企“同心圆”</w:t>
      </w:r>
    </w:p>
    <w:p w14:paraId="7E135020">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2023 年 6 月，中国科协、科技部、人力资源社会保障部等八部门印发《关于加强新时代老科学技术工作者协会工作 更好发挥老科技工作者作用的意见》指出，需要用好用活老科技工作者这一重要人才资源，充分发挥老科技工作者队伍人才荟萃、智力密集、经验丰富等优势，更好为党和国家事业服务。</w:t>
      </w:r>
    </w:p>
    <w:p w14:paraId="695469A5">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早在 2021 年，作为中国老科技工作者协会副会长的李健，就发起和组织了“万名老专家进万企”行动，目前这项银龄助企公益活动已经开展了整整 6 个年头。</w:t>
      </w:r>
    </w:p>
    <w:p w14:paraId="56C9D58E">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“据对 30 个省区市的不完全统计，目前全国已有 10 多万名老科技工作者参与到我们的‘万名老专家进万企’行动中，服务企业总数超过 14000 家。”李健介绍道。</w:t>
      </w:r>
    </w:p>
    <w:p w14:paraId="3AAAC6D8">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在“银龄助企”的大军中，涌现出数不胜数的银发先进人物和先进典型。来自江苏省如东县的蔡瑞平给李健留下了深刻印象。“他是一名基层的老科技工作者，但是他帮助当地一家企业开发的劲性桩技术，解决了困扰建筑行业多年的软土层加固难题，这项成果不但荣获国家科技进步一等奖，而且被住建部在全行业推广使用，在当时产生了轰动全国的影响力。”</w:t>
      </w:r>
    </w:p>
    <w:p w14:paraId="4AF4BAEC">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两年前，为了扩大银龄助企的服务范围，李健和团队又积极探索“老专家地方行”模式，致力于为老专家与企业家合作搭建桥梁，为推进新型工业化建设制造强国探新路、出新招。</w:t>
      </w:r>
    </w:p>
    <w:p w14:paraId="5FE89A11">
      <w:pPr>
        <w:pStyle w:val="2"/>
        <w:spacing w:before="0" w:after="0" w:line="240" w:lineRule="auto"/>
      </w:pPr>
      <w:r>
        <w:rPr>
          <w:rFonts w:hint="eastAsia"/>
        </w:rPr>
        <w:drawing>
          <wp:inline distT="0" distB="0" distL="114300" distR="114300">
            <wp:extent cx="5615940" cy="3822065"/>
            <wp:effectExtent l="0" t="0" r="3810" b="6985"/>
            <wp:docPr id="3" name="图片 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1)"/>
                    <pic:cNvPicPr>
                      <a:picLocks noChangeAspect="1"/>
                    </pic:cNvPicPr>
                  </pic:nvPicPr>
                  <pic:blipFill>
                    <a:blip r:embed="rId7"/>
                    <a:stretch>
                      <a:fillRect/>
                    </a:stretch>
                  </pic:blipFill>
                  <pic:spPr>
                    <a:xfrm>
                      <a:off x="0" y="0"/>
                      <a:ext cx="5615940" cy="3822065"/>
                    </a:xfrm>
                    <a:prstGeom prst="rect">
                      <a:avLst/>
                    </a:prstGeom>
                  </pic:spPr>
                </pic:pic>
              </a:graphicData>
            </a:graphic>
          </wp:inline>
        </w:drawing>
      </w:r>
    </w:p>
    <w:p w14:paraId="1101ABF4">
      <w:pPr>
        <w:overflowPunct w:val="0"/>
        <w:topLinePunct/>
        <w:autoSpaceDE w:val="0"/>
        <w:autoSpaceDN w:val="0"/>
        <w:adjustRightInd w:val="0"/>
        <w:spacing w:line="560" w:lineRule="exact"/>
        <w:jc w:val="center"/>
        <w:rPr>
          <w:rFonts w:ascii="方正楷体_GBK" w:hAnsi="方正楷体_GBK" w:eastAsia="方正楷体_GBK" w:cs="方正楷体_GBK"/>
          <w:snapToGrid w:val="0"/>
          <w:sz w:val="32"/>
          <w:szCs w:val="32"/>
        </w:rPr>
      </w:pPr>
      <w:r>
        <w:rPr>
          <w:rFonts w:hint="eastAsia" w:ascii="方正楷体_GBK" w:hAnsi="方正楷体_GBK" w:eastAsia="方正楷体_GBK" w:cs="方正楷体_GBK"/>
          <w:snapToGrid w:val="0"/>
          <w:sz w:val="32"/>
          <w:szCs w:val="32"/>
        </w:rPr>
        <w:t>李健（左二）在河北参加“万名老专家进万企”活动</w:t>
      </w:r>
    </w:p>
    <w:p w14:paraId="7EE16A02">
      <w:pPr>
        <w:pStyle w:val="2"/>
      </w:pPr>
    </w:p>
    <w:p w14:paraId="13F0C2ED">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十多年的时间里，李健早已数不清自己调研了多少个企业，指导了多少一线工作开展。在他的电脑桌面上，堆了整整一屏幕的地方调研资料。无论聊起哪一次调研的具体情况、细节，他总能熟练地找到对应的文件夹，生动地讲述起那些企业发展的故事。</w:t>
      </w:r>
    </w:p>
    <w:p w14:paraId="6E930E20">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2023 年，中国老科技工作者协会“老专家地方行”首站活动在江苏省海安市举行。“这项工作的创新之处在于，它将服务从‘点（企业）’拓展到‘线（产业）’乃至‘面（区域）’。”作为行动的亲历者和推动者，李健介绍，要将“老专家地方行”做好、做实，必须坚持需求导向，做好前期准备，尤其要精心组织“建言献策”和“企业问诊”这两个关键环节，并重视成果转化的“下半篇”文章。</w:t>
      </w:r>
    </w:p>
    <w:p w14:paraId="01EE506D">
      <w:pPr>
        <w:pStyle w:val="2"/>
        <w:spacing w:before="0" w:after="0" w:line="240" w:lineRule="auto"/>
      </w:pPr>
      <w:r>
        <w:rPr>
          <w:rFonts w:hint="eastAsia"/>
        </w:rPr>
        <w:drawing>
          <wp:inline distT="0" distB="0" distL="114300" distR="114300">
            <wp:extent cx="5607685" cy="3155950"/>
            <wp:effectExtent l="0" t="0" r="12065" b="6350"/>
            <wp:docPr id="4" name="图片 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图片(1)"/>
                    <pic:cNvPicPr>
                      <a:picLocks noChangeAspect="1"/>
                    </pic:cNvPicPr>
                  </pic:nvPicPr>
                  <pic:blipFill>
                    <a:blip r:embed="rId8"/>
                    <a:stretch>
                      <a:fillRect/>
                    </a:stretch>
                  </pic:blipFill>
                  <pic:spPr>
                    <a:xfrm>
                      <a:off x="0" y="0"/>
                      <a:ext cx="5607685" cy="3155950"/>
                    </a:xfrm>
                    <a:prstGeom prst="rect">
                      <a:avLst/>
                    </a:prstGeom>
                  </pic:spPr>
                </pic:pic>
              </a:graphicData>
            </a:graphic>
          </wp:inline>
        </w:drawing>
      </w:r>
    </w:p>
    <w:p w14:paraId="259A0057">
      <w:pPr>
        <w:overflowPunct w:val="0"/>
        <w:topLinePunct/>
        <w:autoSpaceDE w:val="0"/>
        <w:autoSpaceDN w:val="0"/>
        <w:adjustRightInd w:val="0"/>
        <w:spacing w:line="560" w:lineRule="exact"/>
        <w:jc w:val="center"/>
        <w:rPr>
          <w:rFonts w:ascii="仿宋_GB2312" w:hAnsi="仿宋" w:eastAsia="仿宋_GB2312" w:cs="宋体"/>
          <w:snapToGrid w:val="0"/>
          <w:sz w:val="32"/>
          <w:szCs w:val="32"/>
        </w:rPr>
      </w:pPr>
      <w:r>
        <w:rPr>
          <w:rFonts w:hint="eastAsia" w:ascii="方正楷体_GBK" w:hAnsi="方正楷体_GBK" w:eastAsia="方正楷体_GBK" w:cs="方正楷体_GBK"/>
          <w:snapToGrid w:val="0"/>
          <w:sz w:val="32"/>
          <w:szCs w:val="32"/>
        </w:rPr>
        <w:t>李健在“老专家地方行”活动现场开展“企业问诊”</w:t>
      </w:r>
    </w:p>
    <w:p w14:paraId="01F1BFA7">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p>
    <w:p w14:paraId="7CF1C4A9">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“两年多来，我们在东中西部 8 个省份举办了 13 场‘老专家地方行’活动，来自央企和国家科研机构的 100 多位高级专家累计为地方政府建言献策 461 条，为企业举办大型‘义诊’12次，作专题报告 23 场，受益企业达 2008 家。”</w:t>
      </w:r>
    </w:p>
    <w:p w14:paraId="7B3E2C47">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一大批像李健一样的老科技工作者重返经济建设主战场，帮助企业开展技术创新、管理创新、新产品开发、技术改造、人员培训，显著提升了企业的技术创新能力、管理水平和人员素质，为企业特别是中小企业的高质量发展，做出了积极贡献。</w:t>
      </w:r>
    </w:p>
    <w:p w14:paraId="3C633465">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黑体" w:hAnsi="黑体" w:eastAsia="黑体" w:cs="黑体"/>
          <w:snapToGrid w:val="0"/>
          <w:sz w:val="32"/>
          <w:szCs w:val="32"/>
        </w:rPr>
        <w:t>心怀热望，银发生辉照征程</w:t>
      </w:r>
    </w:p>
    <w:p w14:paraId="580D056B">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为了更好地了解企业情况，年近八旬的李健仍常年在各地奔波。是什么支撑着他保持如此旺盛的精力与热情？</w:t>
      </w:r>
    </w:p>
    <w:p w14:paraId="236365FD">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李健说是为了实现自己的三个“初衷”：感恩、追求、探索。</w:t>
      </w:r>
    </w:p>
    <w:p w14:paraId="78FF7361">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1949 年，李健出生在一个军人家庭。作为“生在新中国、长在红旗下”的第一代人，他从小最爱唱的歌是《我们是共产主义接班人》，写过最多的作文是“我与祖国同成长”。</w:t>
      </w:r>
    </w:p>
    <w:p w14:paraId="2A6010CE">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“如果没有改革开放，没有党和人民的培养，就没有我的今天。因此，我要用自己的所学所长，继续报效祖国。”李健坚定地说。</w:t>
      </w:r>
    </w:p>
    <w:p w14:paraId="78F95E8B">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与很多银发摄影爱好者一样，李健曾热爱用镜头捕捉生活中的真善美，记录社会的飞速发展与深刻变革。新中国成立 70 周年时，他还出版了自己的摄影集《我与祖国同行》。</w:t>
      </w:r>
    </w:p>
    <w:p w14:paraId="1E318A51">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但随着银龄助企行动的深入开展，李健的摄影装备也在柜子里“吃灰”多年。“跳广场舞、爱好摄影是老有所乐；老有所为、服务社会，也是老有所乐，而且是一种更高境界的老有所乐。”李健所追求的是一种新的人生价值，他选择继续做一个有益于社会的人，“我认为我现在积极推动的这件事，对国家非常有意义、有价值，所以我全力以赴，乐此不疲。”</w:t>
      </w:r>
    </w:p>
    <w:p w14:paraId="316A8F94">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展望未来，李健将继续深耕银龄助企事业，推动活动规模更大化、服务更精准化，积极探索如何保障老科技工作者服务社会合法权益等相关领域。</w:t>
      </w:r>
    </w:p>
    <w:p w14:paraId="0BAEEF6D">
      <w:pPr>
        <w:overflowPunct w:val="0"/>
        <w:topLinePunct/>
        <w:autoSpaceDE w:val="0"/>
        <w:autoSpaceDN w:val="0"/>
        <w:adjustRightInd w:val="0"/>
        <w:spacing w:line="560" w:lineRule="exact"/>
        <w:ind w:firstLine="640" w:firstLineChars="200"/>
        <w:jc w:val="left"/>
        <w:rPr>
          <w:rFonts w:ascii="仿宋_GB2312" w:hAnsi="仿宋" w:eastAsia="仿宋_GB2312" w:cs="宋体"/>
          <w:snapToGrid w:val="0"/>
          <w:sz w:val="32"/>
          <w:szCs w:val="32"/>
        </w:rPr>
      </w:pPr>
      <w:r>
        <w:rPr>
          <w:rFonts w:hint="eastAsia" w:ascii="仿宋_GB2312" w:hAnsi="仿宋" w:eastAsia="仿宋_GB2312" w:cs="宋体"/>
          <w:snapToGrid w:val="0"/>
          <w:sz w:val="32"/>
          <w:szCs w:val="32"/>
        </w:rPr>
        <w:t>“人口老龄化不可怕，关键是如何有效应对。”李健表示，“以2000 万名老科技工作者为例，你不发挥他的作用，他就是包袱；你发挥他的作用，他就是财富。”</w:t>
      </w:r>
    </w:p>
    <w:p w14:paraId="1CDE4275">
      <w:pPr>
        <w:overflowPunct w:val="0"/>
        <w:topLinePunct/>
        <w:autoSpaceDE w:val="0"/>
        <w:autoSpaceDN w:val="0"/>
        <w:adjustRightInd w:val="0"/>
        <w:spacing w:line="560" w:lineRule="exact"/>
        <w:jc w:val="right"/>
        <w:rPr>
          <w:rFonts w:ascii="仿宋_GB2312" w:hAnsi="仿宋" w:eastAsia="仿宋_GB2312" w:cs="宋体"/>
          <w:snapToGrid w:val="0"/>
          <w:sz w:val="32"/>
          <w:szCs w:val="32"/>
        </w:rPr>
      </w:pPr>
      <w:r>
        <w:rPr>
          <w:rFonts w:hint="eastAsia" w:ascii="仿宋_GB2312" w:hAnsi="仿宋" w:eastAsia="仿宋_GB2312" w:cs="宋体"/>
          <w:snapToGrid w:val="0"/>
          <w:sz w:val="32"/>
          <w:szCs w:val="32"/>
        </w:rPr>
        <w:t xml:space="preserve"> （撰稿人：吴佳怡）      </w:t>
      </w:r>
      <w:r>
        <w:rPr>
          <w:rFonts w:ascii="仿宋_GB2312" w:hAnsi="仿宋" w:eastAsia="仿宋_GB2312" w:cs="宋体"/>
          <w:snapToGrid w:val="0"/>
          <w:sz w:val="32"/>
          <w:szCs w:val="32"/>
        </w:rPr>
        <w:t xml:space="preserve">      </w:t>
      </w:r>
    </w:p>
    <w:p w14:paraId="43E52A0D">
      <w:pPr>
        <w:overflowPunct w:val="0"/>
        <w:topLinePunct/>
        <w:autoSpaceDE w:val="0"/>
        <w:autoSpaceDN w:val="0"/>
        <w:adjustRightInd w:val="0"/>
        <w:spacing w:line="580" w:lineRule="exact"/>
        <w:rPr>
          <w:rFonts w:ascii="仿宋_GB2312" w:hAnsi="仿宋" w:eastAsia="仿宋_GB2312" w:cs="宋体"/>
          <w:snapToGrid w:val="0"/>
          <w:sz w:val="32"/>
          <w:szCs w:val="32"/>
        </w:rPr>
      </w:pPr>
      <w:r>
        <w:rPr>
          <w:rFonts w:hint="eastAsia" w:ascii="仿宋_GB2312" w:hAnsi="仿宋" w:eastAsia="仿宋_GB2312" w:cs="宋体"/>
          <w:snapToGrid w:val="0"/>
          <w:sz w:val="32"/>
          <w:szCs w:val="32"/>
        </w:rPr>
        <w:t xml:space="preserve">                </w:t>
      </w:r>
      <w:r>
        <w:rPr>
          <w:rFonts w:ascii="仿宋_GB2312" w:hAnsi="仿宋" w:eastAsia="仿宋_GB2312" w:cs="宋体"/>
          <w:snapToGrid w:val="0"/>
          <w:sz w:val="32"/>
          <w:szCs w:val="32"/>
        </w:rPr>
        <w:t xml:space="preserve"> </w:t>
      </w:r>
    </w:p>
    <w:p w14:paraId="181EF907">
      <w:pPr>
        <w:pStyle w:val="2"/>
        <w:rPr>
          <w:rFonts w:ascii="仿宋_GB2312" w:hAnsi="仿宋" w:eastAsia="仿宋_GB2312" w:cs="宋体"/>
          <w:snapToGrid w:val="0"/>
          <w:sz w:val="32"/>
          <w:szCs w:val="32"/>
        </w:rPr>
      </w:pPr>
    </w:p>
    <w:p w14:paraId="2A0FCE4F"/>
    <w:p w14:paraId="544D646A">
      <w:bookmarkStart w:id="0" w:name="_GoBack"/>
      <w:bookmarkEnd w:id="0"/>
    </w:p>
    <w:sectPr>
      <w:footerReference r:id="rId3" w:type="default"/>
      <w:footerReference r:id="rId4" w:type="even"/>
      <w:pgSz w:w="11906" w:h="16838"/>
      <w:pgMar w:top="2098" w:right="1474" w:bottom="1985" w:left="158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0622DD-12B7-4B48-9184-E9C94D720F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文星标宋">
    <w:altName w:val="Arial Unicode MS"/>
    <w:panose1 w:val="00000000000000000000"/>
    <w:charset w:val="86"/>
    <w:family w:val="auto"/>
    <w:pitch w:val="default"/>
    <w:sig w:usb0="00000000" w:usb1="00000000" w:usb2="00000010"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87DCDB8E-374B-4105-AD69-0717994BD749}"/>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758CD675-1EF2-41DA-8068-CC9E67132E3C}"/>
  </w:font>
  <w:font w:name="Wingdings 2">
    <w:panose1 w:val="05020102010507070707"/>
    <w:charset w:val="02"/>
    <w:family w:val="roman"/>
    <w:pitch w:val="default"/>
    <w:sig w:usb0="00000000" w:usb1="00000000" w:usb2="00000000" w:usb3="00000000" w:csb0="80000000" w:csb1="00000000"/>
  </w:font>
  <w:font w:name="方正小标宋简体">
    <w:panose1 w:val="02000000000000000000"/>
    <w:charset w:val="86"/>
    <w:family w:val="auto"/>
    <w:pitch w:val="default"/>
    <w:sig w:usb0="00000001" w:usb1="08000000" w:usb2="00000000" w:usb3="00000000" w:csb0="00040000" w:csb1="00000000"/>
    <w:embedRegular r:id="rId4" w:fontKey="{5DDAC105-2948-44C5-AF67-FE809BFBFC97}"/>
  </w:font>
  <w:font w:name="方正楷体_GBK">
    <w:panose1 w:val="02000000000000000000"/>
    <w:charset w:val="86"/>
    <w:family w:val="script"/>
    <w:pitch w:val="default"/>
    <w:sig w:usb0="800002BF" w:usb1="38CF7CFA" w:usb2="00000016" w:usb3="00000000" w:csb0="00040000" w:csb1="00000000"/>
    <w:embedRegular r:id="rId5" w:fontKey="{210D4930-D2C1-4E48-90CE-AC6AE789FA05}"/>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1137E">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9</w:t>
    </w:r>
    <w:r>
      <w:rPr>
        <w:rStyle w:val="15"/>
      </w:rPr>
      <w:fldChar w:fldCharType="end"/>
    </w:r>
  </w:p>
  <w:p w14:paraId="1564B1FF">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9F76">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14:paraId="34446ECC">
    <w:pPr>
      <w:pStyle w:val="7"/>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1D6"/>
    <w:rsid w:val="00016342"/>
    <w:rsid w:val="00016520"/>
    <w:rsid w:val="00016882"/>
    <w:rsid w:val="00080ACE"/>
    <w:rsid w:val="000811D9"/>
    <w:rsid w:val="0008407F"/>
    <w:rsid w:val="000966E8"/>
    <w:rsid w:val="000A1985"/>
    <w:rsid w:val="000B1C97"/>
    <w:rsid w:val="000B55B3"/>
    <w:rsid w:val="000B7A7D"/>
    <w:rsid w:val="000C47CB"/>
    <w:rsid w:val="000D1C49"/>
    <w:rsid w:val="000D22B7"/>
    <w:rsid w:val="000D5436"/>
    <w:rsid w:val="00102F4F"/>
    <w:rsid w:val="00113154"/>
    <w:rsid w:val="00115EEC"/>
    <w:rsid w:val="001233D7"/>
    <w:rsid w:val="00140493"/>
    <w:rsid w:val="00164348"/>
    <w:rsid w:val="00180E33"/>
    <w:rsid w:val="001838F9"/>
    <w:rsid w:val="001A548B"/>
    <w:rsid w:val="001E23CA"/>
    <w:rsid w:val="00206E81"/>
    <w:rsid w:val="00223C47"/>
    <w:rsid w:val="00224013"/>
    <w:rsid w:val="00234897"/>
    <w:rsid w:val="00261386"/>
    <w:rsid w:val="00275CA1"/>
    <w:rsid w:val="002873D2"/>
    <w:rsid w:val="00294C9E"/>
    <w:rsid w:val="002950ED"/>
    <w:rsid w:val="002A20CE"/>
    <w:rsid w:val="002A3E4C"/>
    <w:rsid w:val="002A5D66"/>
    <w:rsid w:val="002C4DC4"/>
    <w:rsid w:val="002D21D6"/>
    <w:rsid w:val="002D4347"/>
    <w:rsid w:val="002E0B5B"/>
    <w:rsid w:val="002E0E93"/>
    <w:rsid w:val="002F06C0"/>
    <w:rsid w:val="002F7D29"/>
    <w:rsid w:val="003009C1"/>
    <w:rsid w:val="0032041A"/>
    <w:rsid w:val="00321EC9"/>
    <w:rsid w:val="00334FC4"/>
    <w:rsid w:val="0033652D"/>
    <w:rsid w:val="00342A5B"/>
    <w:rsid w:val="003566AE"/>
    <w:rsid w:val="003858A7"/>
    <w:rsid w:val="0039602F"/>
    <w:rsid w:val="003A1D84"/>
    <w:rsid w:val="003A46EA"/>
    <w:rsid w:val="003C79D0"/>
    <w:rsid w:val="003D6C3F"/>
    <w:rsid w:val="003F4631"/>
    <w:rsid w:val="003F4792"/>
    <w:rsid w:val="00406A28"/>
    <w:rsid w:val="0041495C"/>
    <w:rsid w:val="004178DB"/>
    <w:rsid w:val="004229BD"/>
    <w:rsid w:val="004255E2"/>
    <w:rsid w:val="00454814"/>
    <w:rsid w:val="00454B38"/>
    <w:rsid w:val="004772E1"/>
    <w:rsid w:val="0049790E"/>
    <w:rsid w:val="004B4B7E"/>
    <w:rsid w:val="004C003B"/>
    <w:rsid w:val="004C326A"/>
    <w:rsid w:val="004D6C29"/>
    <w:rsid w:val="004E0F1C"/>
    <w:rsid w:val="00502DCF"/>
    <w:rsid w:val="005039B6"/>
    <w:rsid w:val="00503DFE"/>
    <w:rsid w:val="00510565"/>
    <w:rsid w:val="00510E58"/>
    <w:rsid w:val="00513CC2"/>
    <w:rsid w:val="005215EC"/>
    <w:rsid w:val="00543833"/>
    <w:rsid w:val="005461B1"/>
    <w:rsid w:val="00556432"/>
    <w:rsid w:val="00557E06"/>
    <w:rsid w:val="00576F09"/>
    <w:rsid w:val="005902EB"/>
    <w:rsid w:val="0059204C"/>
    <w:rsid w:val="005C1AEA"/>
    <w:rsid w:val="005D1974"/>
    <w:rsid w:val="005E0F9B"/>
    <w:rsid w:val="005F3CAF"/>
    <w:rsid w:val="006105EA"/>
    <w:rsid w:val="00610DF7"/>
    <w:rsid w:val="00621D9A"/>
    <w:rsid w:val="0062534A"/>
    <w:rsid w:val="00634770"/>
    <w:rsid w:val="006545AF"/>
    <w:rsid w:val="00676B19"/>
    <w:rsid w:val="006975C7"/>
    <w:rsid w:val="006A42E7"/>
    <w:rsid w:val="006A53DA"/>
    <w:rsid w:val="006A630E"/>
    <w:rsid w:val="006D7F2A"/>
    <w:rsid w:val="006E4DAF"/>
    <w:rsid w:val="006F6904"/>
    <w:rsid w:val="00720FBD"/>
    <w:rsid w:val="007313D7"/>
    <w:rsid w:val="007318DC"/>
    <w:rsid w:val="00752AB4"/>
    <w:rsid w:val="00766549"/>
    <w:rsid w:val="00766556"/>
    <w:rsid w:val="00771954"/>
    <w:rsid w:val="00775BEA"/>
    <w:rsid w:val="00775CB9"/>
    <w:rsid w:val="007868F0"/>
    <w:rsid w:val="00786AB9"/>
    <w:rsid w:val="007B3F48"/>
    <w:rsid w:val="007C4AC6"/>
    <w:rsid w:val="007D499D"/>
    <w:rsid w:val="00806337"/>
    <w:rsid w:val="00821FCF"/>
    <w:rsid w:val="0083739D"/>
    <w:rsid w:val="00844F91"/>
    <w:rsid w:val="00850146"/>
    <w:rsid w:val="00867D7F"/>
    <w:rsid w:val="008870BE"/>
    <w:rsid w:val="00894220"/>
    <w:rsid w:val="008B4754"/>
    <w:rsid w:val="008C2CFF"/>
    <w:rsid w:val="008C302D"/>
    <w:rsid w:val="008C7FA5"/>
    <w:rsid w:val="008D5BB6"/>
    <w:rsid w:val="008D73FD"/>
    <w:rsid w:val="008E51C6"/>
    <w:rsid w:val="008F403F"/>
    <w:rsid w:val="00916AC7"/>
    <w:rsid w:val="00925900"/>
    <w:rsid w:val="00933F85"/>
    <w:rsid w:val="0094186F"/>
    <w:rsid w:val="0094296D"/>
    <w:rsid w:val="00944A94"/>
    <w:rsid w:val="009457CB"/>
    <w:rsid w:val="00955C10"/>
    <w:rsid w:val="00955CB1"/>
    <w:rsid w:val="00973CF9"/>
    <w:rsid w:val="009829A3"/>
    <w:rsid w:val="009B5389"/>
    <w:rsid w:val="009C1E51"/>
    <w:rsid w:val="009D31D0"/>
    <w:rsid w:val="009D55F3"/>
    <w:rsid w:val="009D7470"/>
    <w:rsid w:val="009E4E86"/>
    <w:rsid w:val="009E57F9"/>
    <w:rsid w:val="009F4D77"/>
    <w:rsid w:val="00A064DD"/>
    <w:rsid w:val="00A21008"/>
    <w:rsid w:val="00A21C28"/>
    <w:rsid w:val="00A32D31"/>
    <w:rsid w:val="00A40511"/>
    <w:rsid w:val="00A43798"/>
    <w:rsid w:val="00A7339D"/>
    <w:rsid w:val="00A851D2"/>
    <w:rsid w:val="00AC11AE"/>
    <w:rsid w:val="00AC2006"/>
    <w:rsid w:val="00AC7173"/>
    <w:rsid w:val="00AE041A"/>
    <w:rsid w:val="00AE1797"/>
    <w:rsid w:val="00AE18FD"/>
    <w:rsid w:val="00AE4A0D"/>
    <w:rsid w:val="00B143AE"/>
    <w:rsid w:val="00B17DA5"/>
    <w:rsid w:val="00B219B0"/>
    <w:rsid w:val="00B36F07"/>
    <w:rsid w:val="00B47D67"/>
    <w:rsid w:val="00B57350"/>
    <w:rsid w:val="00B818D3"/>
    <w:rsid w:val="00B855C6"/>
    <w:rsid w:val="00BA5A30"/>
    <w:rsid w:val="00BA6D2C"/>
    <w:rsid w:val="00BA7FFB"/>
    <w:rsid w:val="00BB1F5A"/>
    <w:rsid w:val="00BC0FCE"/>
    <w:rsid w:val="00BC59A1"/>
    <w:rsid w:val="00BD3E17"/>
    <w:rsid w:val="00BF0C0B"/>
    <w:rsid w:val="00BF196F"/>
    <w:rsid w:val="00C07EB1"/>
    <w:rsid w:val="00C16931"/>
    <w:rsid w:val="00C261B5"/>
    <w:rsid w:val="00C3566F"/>
    <w:rsid w:val="00C40860"/>
    <w:rsid w:val="00C50344"/>
    <w:rsid w:val="00C55584"/>
    <w:rsid w:val="00C7363D"/>
    <w:rsid w:val="00C81756"/>
    <w:rsid w:val="00C9321F"/>
    <w:rsid w:val="00CB593B"/>
    <w:rsid w:val="00CC22D9"/>
    <w:rsid w:val="00CC365C"/>
    <w:rsid w:val="00CD39A3"/>
    <w:rsid w:val="00CE5EA7"/>
    <w:rsid w:val="00CE6AED"/>
    <w:rsid w:val="00D0178A"/>
    <w:rsid w:val="00D25E7F"/>
    <w:rsid w:val="00D33497"/>
    <w:rsid w:val="00D5298E"/>
    <w:rsid w:val="00D57AF3"/>
    <w:rsid w:val="00D610AE"/>
    <w:rsid w:val="00D666F0"/>
    <w:rsid w:val="00D668BC"/>
    <w:rsid w:val="00D938B1"/>
    <w:rsid w:val="00D94AF9"/>
    <w:rsid w:val="00D96151"/>
    <w:rsid w:val="00D9731C"/>
    <w:rsid w:val="00DD6442"/>
    <w:rsid w:val="00DE0DB0"/>
    <w:rsid w:val="00DE5085"/>
    <w:rsid w:val="00DF4239"/>
    <w:rsid w:val="00DF7D39"/>
    <w:rsid w:val="00E10D5D"/>
    <w:rsid w:val="00E14906"/>
    <w:rsid w:val="00E14BE8"/>
    <w:rsid w:val="00E2313E"/>
    <w:rsid w:val="00E32B85"/>
    <w:rsid w:val="00E42A02"/>
    <w:rsid w:val="00E43D26"/>
    <w:rsid w:val="00E459F1"/>
    <w:rsid w:val="00E5143A"/>
    <w:rsid w:val="00E62302"/>
    <w:rsid w:val="00E730BE"/>
    <w:rsid w:val="00E83FD9"/>
    <w:rsid w:val="00EB2E31"/>
    <w:rsid w:val="00EC66DF"/>
    <w:rsid w:val="00EE6CDC"/>
    <w:rsid w:val="00F0423D"/>
    <w:rsid w:val="00F134B8"/>
    <w:rsid w:val="00F13E64"/>
    <w:rsid w:val="00F378BF"/>
    <w:rsid w:val="00F41622"/>
    <w:rsid w:val="00F774EE"/>
    <w:rsid w:val="00F843F0"/>
    <w:rsid w:val="00F8562D"/>
    <w:rsid w:val="00F911BF"/>
    <w:rsid w:val="00F93A0F"/>
    <w:rsid w:val="00F9695F"/>
    <w:rsid w:val="00FA42D0"/>
    <w:rsid w:val="00FB5D4A"/>
    <w:rsid w:val="00FC3B86"/>
    <w:rsid w:val="00FD64E1"/>
    <w:rsid w:val="00FF48D8"/>
    <w:rsid w:val="00FF68D4"/>
    <w:rsid w:val="02BE441C"/>
    <w:rsid w:val="06E25862"/>
    <w:rsid w:val="08CA35E8"/>
    <w:rsid w:val="0CC36CB3"/>
    <w:rsid w:val="0D6C6771"/>
    <w:rsid w:val="124268B7"/>
    <w:rsid w:val="18FD79C1"/>
    <w:rsid w:val="19B73F85"/>
    <w:rsid w:val="1B795803"/>
    <w:rsid w:val="1FAB7714"/>
    <w:rsid w:val="207E4516"/>
    <w:rsid w:val="2274108A"/>
    <w:rsid w:val="247E4070"/>
    <w:rsid w:val="24DB5714"/>
    <w:rsid w:val="2C2B09BF"/>
    <w:rsid w:val="2DCE1EBA"/>
    <w:rsid w:val="355552CD"/>
    <w:rsid w:val="38324478"/>
    <w:rsid w:val="3E0E070F"/>
    <w:rsid w:val="3EE93D37"/>
    <w:rsid w:val="419B74B1"/>
    <w:rsid w:val="42786A9F"/>
    <w:rsid w:val="444A0665"/>
    <w:rsid w:val="44FA6194"/>
    <w:rsid w:val="477E3EC2"/>
    <w:rsid w:val="47BC5D51"/>
    <w:rsid w:val="4A840AEC"/>
    <w:rsid w:val="50B447A7"/>
    <w:rsid w:val="59477CFC"/>
    <w:rsid w:val="59967ADE"/>
    <w:rsid w:val="5C643EC4"/>
    <w:rsid w:val="608C23DE"/>
    <w:rsid w:val="60D74721"/>
    <w:rsid w:val="63246679"/>
    <w:rsid w:val="64EF2428"/>
    <w:rsid w:val="6D711FE3"/>
    <w:rsid w:val="6F480025"/>
    <w:rsid w:val="702B4A04"/>
    <w:rsid w:val="74600FBD"/>
    <w:rsid w:val="7A8E67C3"/>
    <w:rsid w:val="7E2729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2">
    <w:name w:val="heading 4"/>
    <w:basedOn w:val="1"/>
    <w:next w:val="1"/>
    <w:qFormat/>
    <w:uiPriority w:val="99"/>
    <w:pPr>
      <w:keepNext/>
      <w:keepLines/>
      <w:spacing w:before="280" w:after="290" w:line="376" w:lineRule="auto"/>
      <w:outlineLvl w:val="3"/>
    </w:pPr>
    <w:rPr>
      <w:rFonts w:ascii="Cambria" w:hAnsi="Cambria" w:cs="Cambria"/>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5"/>
    <w:semiHidden/>
    <w:unhideWhenUsed/>
    <w:qFormat/>
    <w:uiPriority w:val="0"/>
    <w:pPr>
      <w:jc w:val="left"/>
    </w:pPr>
  </w:style>
  <w:style w:type="paragraph" w:styleId="5">
    <w:name w:val="Date"/>
    <w:basedOn w:val="1"/>
    <w:next w:val="1"/>
    <w:link w:val="19"/>
    <w:qFormat/>
    <w:uiPriority w:val="0"/>
    <w:pPr>
      <w:ind w:left="100" w:leftChars="2500"/>
    </w:pPr>
  </w:style>
  <w:style w:type="paragraph" w:styleId="6">
    <w:name w:val="Balloon Text"/>
    <w:basedOn w:val="1"/>
    <w:link w:val="27"/>
    <w:semiHidden/>
    <w:unhideWhenUsed/>
    <w:qFormat/>
    <w:uiPriority w:val="0"/>
    <w:rPr>
      <w:sz w:val="18"/>
      <w:szCs w:val="18"/>
    </w:rPr>
  </w:style>
  <w:style w:type="paragraph" w:styleId="7">
    <w:name w:val="footer"/>
    <w:basedOn w:val="1"/>
    <w:link w:val="23"/>
    <w:qFormat/>
    <w:uiPriority w:val="99"/>
    <w:pPr>
      <w:tabs>
        <w:tab w:val="center" w:pos="4153"/>
        <w:tab w:val="right" w:pos="8306"/>
      </w:tabs>
      <w:snapToGrid w:val="0"/>
      <w:jc w:val="left"/>
    </w:pPr>
    <w:rPr>
      <w:sz w:val="18"/>
      <w:szCs w:val="18"/>
    </w:rPr>
  </w:style>
  <w:style w:type="paragraph" w:styleId="8">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1"/>
    <w:qFormat/>
    <w:uiPriority w:val="0"/>
    <w:pPr>
      <w:spacing w:after="120" w:line="480" w:lineRule="auto"/>
    </w:pPr>
    <w:rPr>
      <w:rFonts w:ascii="Calibri" w:hAnsi="Calibri"/>
      <w:szCs w:val="22"/>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4"/>
    <w:next w:val="4"/>
    <w:link w:val="26"/>
    <w:semiHidden/>
    <w:unhideWhenUsed/>
    <w:qFormat/>
    <w:uiPriority w:val="0"/>
    <w:rPr>
      <w:b/>
      <w:bCs/>
    </w:rPr>
  </w:style>
  <w:style w:type="table" w:styleId="13">
    <w:name w:val="Table Grid"/>
    <w:basedOn w:val="12"/>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qFormat/>
    <w:uiPriority w:val="0"/>
    <w:rPr>
      <w:color w:val="0000FF"/>
      <w:u w:val="single"/>
    </w:rPr>
  </w:style>
  <w:style w:type="character" w:styleId="17">
    <w:name w:val="annotation reference"/>
    <w:basedOn w:val="14"/>
    <w:semiHidden/>
    <w:unhideWhenUsed/>
    <w:qFormat/>
    <w:uiPriority w:val="0"/>
    <w:rPr>
      <w:sz w:val="21"/>
      <w:szCs w:val="21"/>
    </w:rPr>
  </w:style>
  <w:style w:type="character" w:customStyle="1" w:styleId="18">
    <w:name w:val="页眉 Char"/>
    <w:link w:val="8"/>
    <w:qFormat/>
    <w:uiPriority w:val="99"/>
    <w:rPr>
      <w:kern w:val="2"/>
      <w:sz w:val="18"/>
      <w:szCs w:val="18"/>
    </w:rPr>
  </w:style>
  <w:style w:type="character" w:customStyle="1" w:styleId="19">
    <w:name w:val="日期 Char"/>
    <w:link w:val="5"/>
    <w:qFormat/>
    <w:uiPriority w:val="0"/>
    <w:rPr>
      <w:kern w:val="2"/>
      <w:sz w:val="21"/>
      <w:szCs w:val="24"/>
    </w:rPr>
  </w:style>
  <w:style w:type="paragraph" w:styleId="20">
    <w:name w:val="List Paragraph"/>
    <w:basedOn w:val="1"/>
    <w:qFormat/>
    <w:uiPriority w:val="34"/>
    <w:pPr>
      <w:ind w:firstLine="420" w:firstLineChars="200"/>
    </w:pPr>
  </w:style>
  <w:style w:type="character" w:customStyle="1" w:styleId="21">
    <w:name w:val="正文文本 2 Char"/>
    <w:basedOn w:val="14"/>
    <w:link w:val="9"/>
    <w:qFormat/>
    <w:uiPriority w:val="0"/>
    <w:rPr>
      <w:rFonts w:ascii="Calibri" w:hAnsi="Calibri"/>
      <w:kern w:val="2"/>
      <w:sz w:val="21"/>
      <w:szCs w:val="22"/>
    </w:rPr>
  </w:style>
  <w:style w:type="character" w:customStyle="1" w:styleId="22">
    <w:name w:val="标题 1 Char"/>
    <w:basedOn w:val="14"/>
    <w:link w:val="3"/>
    <w:qFormat/>
    <w:uiPriority w:val="0"/>
    <w:rPr>
      <w:b/>
      <w:bCs/>
      <w:kern w:val="44"/>
      <w:sz w:val="44"/>
      <w:szCs w:val="44"/>
    </w:rPr>
  </w:style>
  <w:style w:type="character" w:customStyle="1" w:styleId="23">
    <w:name w:val="页脚 Char"/>
    <w:basedOn w:val="14"/>
    <w:link w:val="7"/>
    <w:qFormat/>
    <w:uiPriority w:val="99"/>
    <w:rPr>
      <w:kern w:val="2"/>
      <w:sz w:val="18"/>
      <w:szCs w:val="18"/>
    </w:rPr>
  </w:style>
  <w:style w:type="paragraph" w:customStyle="1" w:styleId="24">
    <w:name w:val="列表段落1"/>
    <w:basedOn w:val="1"/>
    <w:qFormat/>
    <w:uiPriority w:val="34"/>
    <w:pPr>
      <w:widowControl/>
      <w:kinsoku w:val="0"/>
      <w:autoSpaceDE w:val="0"/>
      <w:autoSpaceDN w:val="0"/>
      <w:adjustRightInd w:val="0"/>
      <w:snapToGrid w:val="0"/>
      <w:ind w:firstLine="420" w:firstLineChars="200"/>
      <w:jc w:val="left"/>
      <w:textAlignment w:val="baseline"/>
    </w:pPr>
    <w:rPr>
      <w:rFonts w:ascii="Arial" w:hAnsi="Arial" w:eastAsia="等线" w:cs="Arial"/>
      <w:snapToGrid w:val="0"/>
      <w:color w:val="000000"/>
      <w:kern w:val="0"/>
      <w:szCs w:val="21"/>
    </w:rPr>
  </w:style>
  <w:style w:type="character" w:customStyle="1" w:styleId="25">
    <w:name w:val="批注文字 Char"/>
    <w:basedOn w:val="14"/>
    <w:link w:val="4"/>
    <w:semiHidden/>
    <w:qFormat/>
    <w:uiPriority w:val="0"/>
    <w:rPr>
      <w:kern w:val="2"/>
      <w:sz w:val="21"/>
      <w:szCs w:val="24"/>
    </w:rPr>
  </w:style>
  <w:style w:type="character" w:customStyle="1" w:styleId="26">
    <w:name w:val="批注主题 Char"/>
    <w:basedOn w:val="25"/>
    <w:link w:val="11"/>
    <w:semiHidden/>
    <w:qFormat/>
    <w:uiPriority w:val="0"/>
    <w:rPr>
      <w:b/>
      <w:bCs/>
      <w:kern w:val="2"/>
      <w:sz w:val="21"/>
      <w:szCs w:val="24"/>
    </w:rPr>
  </w:style>
  <w:style w:type="character" w:customStyle="1" w:styleId="27">
    <w:name w:val="批注框文本 Char"/>
    <w:basedOn w:val="14"/>
    <w:link w:val="6"/>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D37D2-D79B-41A9-9BEF-5D0031BF986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4676</Words>
  <Characters>4828</Characters>
  <Lines>39</Lines>
  <Paragraphs>11</Paragraphs>
  <TotalTime>19</TotalTime>
  <ScaleCrop>false</ScaleCrop>
  <LinksUpToDate>false</LinksUpToDate>
  <CharactersWithSpaces>5149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2026-04-24T06:59:00Z</dcterms:created>
  <dc:creator>Administrator</dc:creator>
  <cp:lastModifiedBy>天才小脑抚</cp:lastModifiedBy>
  <cp:lastPrinted>2022-05-09T04:24:00Z</cp:lastPrinted>
  <dcterms:modified xsi:type="dcterms:W3CDTF">2026-04-27T02:26:58Z</dcterms:modified>
  <dc:title>青岛市老科学技术工作者协会文件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eyJoZGlkIjoiYzcwZmMzZWMyZmU2MDRiMTJjZDQxOTc4ZjJkOTA0MDgiLCJ1c2VySWQiOiI4NzAwNzA4MjAifQ==</vt:lpwstr>
  </property>
  <property fmtid="{D5CDD505-2E9C-101B-9397-08002B2CF9AE}" pid="3" name="KSOProductBuildVer">
    <vt:lpwstr>2052-12.1.0.25865</vt:lpwstr>
  </property>
  <property fmtid="{D5CDD505-2E9C-101B-9397-08002B2CF9AE}" pid="4" name="ICV">
    <vt:lpwstr>CA1FF11071F8454CA37DD15248ED9BB6_13</vt:lpwstr>
  </property>
</Properties>
</file>